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D49D" w14:textId="77777777" w:rsidR="005E390C" w:rsidRPr="005E390C" w:rsidRDefault="005E390C" w:rsidP="005E39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bidi="hi-IN"/>
        </w:rPr>
      </w:pP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Embassy of India</w:t>
      </w:r>
    </w:p>
    <w:p w14:paraId="32C14482" w14:textId="77777777" w:rsidR="005E390C" w:rsidRPr="005E390C" w:rsidRDefault="005E390C" w:rsidP="005E39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bidi="hi-IN"/>
        </w:rPr>
      </w:pP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Brazzaville</w:t>
      </w:r>
    </w:p>
    <w:p w14:paraId="3B6DEEEB" w14:textId="77777777" w:rsidR="005E390C" w:rsidRPr="005E390C" w:rsidRDefault="005E390C" w:rsidP="005E39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bidi="hi-IN"/>
        </w:rPr>
      </w:pP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*****</w:t>
      </w:r>
    </w:p>
    <w:p w14:paraId="03736FFD" w14:textId="77777777" w:rsidR="005E390C" w:rsidRPr="005E390C" w:rsidRDefault="005E390C" w:rsidP="005E39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bidi="hi-IN"/>
        </w:rPr>
      </w:pP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 </w:t>
      </w:r>
    </w:p>
    <w:p w14:paraId="7E9BDC60" w14:textId="77777777" w:rsidR="005E390C" w:rsidRPr="005E390C" w:rsidRDefault="005E390C" w:rsidP="005E390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bidi="hi-IN"/>
        </w:rPr>
      </w:pP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Salient points of the 6th round of the National Family Health Survey (NFHS-6)</w:t>
      </w:r>
    </w:p>
    <w:p w14:paraId="3C625A2B" w14:textId="77777777" w:rsidR="005E390C" w:rsidRPr="005E390C" w:rsidRDefault="005E390C" w:rsidP="005E39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 </w:t>
      </w:r>
    </w:p>
    <w:p w14:paraId="2429F0E0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The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6th round of the National Family Health Survey (NFHS-6)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conducted during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2023–24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provides a comprehensive assessment of India's progress in health, nutrition, maternal and child welfare, and socio-economic development.</w:t>
      </w:r>
    </w:p>
    <w:p w14:paraId="780A7F43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On 29 May 2026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the Government of India released the NFHS-6 fact sheets covering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715 districts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nearly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679,000 households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and over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700,000 women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.</w:t>
      </w:r>
    </w:p>
    <w:p w14:paraId="45C12EE4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India has achieved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near-universal electrification (98.3%)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96.5% access to improved drinking water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and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60.2% health insurance coverage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reflecting significant improvements in basic amenities and financial protection.</w:t>
      </w:r>
    </w:p>
    <w:p w14:paraId="1F30BCEB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Women's empowerment has strengthened substantially, with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89% of women participating in household decision-making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89% owning and operating bank accounts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63.6% owning mobile phones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and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64.3% using the internet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.</w:t>
      </w:r>
    </w:p>
    <w:p w14:paraId="2BCC3FEA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India has consolidated its demographic transition, with the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Total Fertility Rate remaining at the replacement level of 2.0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 and child marriage declining significantly over the past two decades.</w:t>
      </w:r>
    </w:p>
    <w:p w14:paraId="55BCC4DB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Maternal and child health indicators have reached historic highs, with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90.6% institutional deliveries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91.3% skilled birth attendance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95.9% antenatal care coverage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and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 xml:space="preserve">87.1% full </w:t>
      </w:r>
      <w:proofErr w:type="spellStart"/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immunisation</w:t>
      </w:r>
      <w:proofErr w:type="spellEnd"/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 of children.</w:t>
      </w:r>
    </w:p>
    <w:p w14:paraId="45D8DF06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More than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95% of childhood vaccinations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 are now administered through public health facilities, reflecting increased public confidence in India's healthcare system.</w:t>
      </w:r>
    </w:p>
    <w:p w14:paraId="2BF0BE60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Child nutrition has improved considerably, with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stunting reduced to 29.3%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 and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severe wasting declining to 5.2%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 xml:space="preserve">, supported by national nutrition </w:t>
      </w:r>
      <w:proofErr w:type="spellStart"/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programmes</w:t>
      </w:r>
      <w:proofErr w:type="spellEnd"/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.</w:t>
      </w:r>
    </w:p>
    <w:p w14:paraId="4DC43082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India has significantly expanded digital inclusion, with internet usage among women almost doubling since NFHS-5 to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64.3%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while male internet usage has reached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80.5%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.</w:t>
      </w:r>
    </w:p>
    <w:p w14:paraId="7A85B793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Gender-based violence indicators have improved, with the prevalence of spousal violence among ever-married women declining from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37% in 2005–06 to 22.3% in 2023–24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.</w:t>
      </w:r>
    </w:p>
    <w:p w14:paraId="76E08620" w14:textId="77777777" w:rsidR="005E390C" w:rsidRP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The survey highlights growing attention to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non-communicable diseases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 xml:space="preserve">, with large-scale nationwide screening </w:t>
      </w:r>
      <w:proofErr w:type="spellStart"/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programmes</w:t>
      </w:r>
      <w:proofErr w:type="spellEnd"/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 xml:space="preserve"> for diabetes, hypertension and common cancers through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 xml:space="preserve">Ayushman </w:t>
      </w:r>
      <w:proofErr w:type="spellStart"/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Aarogya</w:t>
      </w:r>
      <w:proofErr w:type="spellEnd"/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 xml:space="preserve"> Mandirs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.</w:t>
      </w:r>
    </w:p>
    <w:p w14:paraId="1E86600E" w14:textId="1DC8006B" w:rsidR="005E390C" w:rsidRDefault="005E390C" w:rsidP="005E390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Overall,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NFHS-6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released on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29 May 2026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demonstrates India's sustained progress towards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Universal Health Coverage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 and the </w:t>
      </w:r>
      <w:r w:rsidRPr="005E390C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bidi="hi-IN"/>
        </w:rPr>
        <w:t>Sustainable Development Goals</w:t>
      </w:r>
      <w:r w:rsidRPr="005E390C"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t>, while identifying emerging priorities such as lifestyle-related diseases and adult obesity.</w:t>
      </w:r>
    </w:p>
    <w:p w14:paraId="1CC4CEA2" w14:textId="77777777" w:rsidR="005E390C" w:rsidRDefault="005E390C">
      <w:pPr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bidi="hi-IN"/>
        </w:rPr>
        <w:br w:type="page"/>
      </w:r>
    </w:p>
    <w:p w14:paraId="23B0BA75" w14:textId="2738C3AD" w:rsidR="005E390C" w:rsidRDefault="005E390C" w:rsidP="005E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E390C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lastRenderedPageBreak/>
        <w:t xml:space="preserve">Ambassade de </w:t>
      </w:r>
      <w:proofErr w:type="spellStart"/>
      <w:r w:rsidRPr="005E390C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l’Inde</w:t>
      </w:r>
      <w:proofErr w:type="spellEnd"/>
      <w:r w:rsidRPr="005E390C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5E390C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Brazzaville</w:t>
      </w:r>
    </w:p>
    <w:p w14:paraId="47B798AB" w14:textId="05058E16" w:rsidR="005E390C" w:rsidRPr="005E390C" w:rsidRDefault="005E390C" w:rsidP="005E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*****</w:t>
      </w:r>
    </w:p>
    <w:p w14:paraId="4DEDDB77" w14:textId="77777777" w:rsidR="005E390C" w:rsidRPr="005E390C" w:rsidRDefault="005E390C" w:rsidP="005E390C">
      <w:pPr>
        <w:spacing w:before="100" w:beforeAutospacing="1" w:after="100" w:afterAutospacing="1" w:line="240" w:lineRule="auto"/>
        <w:outlineLvl w:val="1"/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</w:pPr>
      <w:proofErr w:type="spellStart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>Principaux</w:t>
      </w:r>
      <w:proofErr w:type="spellEnd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 xml:space="preserve"> points de la 6ᵉ </w:t>
      </w:r>
      <w:proofErr w:type="spellStart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>édition</w:t>
      </w:r>
      <w:proofErr w:type="spellEnd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>l’Enquête</w:t>
      </w:r>
      <w:proofErr w:type="spellEnd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>nationale</w:t>
      </w:r>
      <w:proofErr w:type="spellEnd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 xml:space="preserve"> sur la </w:t>
      </w:r>
      <w:proofErr w:type="spellStart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>familiale</w:t>
      </w:r>
      <w:proofErr w:type="spellEnd"/>
      <w:r w:rsidRPr="005E390C">
        <w:rPr>
          <w:rFonts w:ascii="Liberation Serif" w:eastAsia="Times New Roman" w:hAnsi="Liberation Serif" w:cs="Times New Roman"/>
          <w:b/>
          <w:bCs/>
          <w:sz w:val="24"/>
          <w:szCs w:val="24"/>
          <w:lang w:bidi="hi-IN"/>
        </w:rPr>
        <w:t xml:space="preserve"> (National Family Health Survey – NFHS-6)</w:t>
      </w:r>
    </w:p>
    <w:p w14:paraId="39095094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La 6ᵉ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édition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l’Enquête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nationale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sur la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familiale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(NFHS-6),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réalisée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cours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la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période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2023–2024,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offre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une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évaluation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complète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progrès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réalisés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par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l’Inde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dans les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domaines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la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de la nutrition, de la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maternelle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et infantile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ainsi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que du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développement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socio-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économique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.</w:t>
      </w:r>
    </w:p>
    <w:p w14:paraId="35650A45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Le 29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mai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2026, le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Gouvernement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l’Inde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publié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les fiches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d’information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la NFHS-6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couvrant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715 districts,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près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679 000 ménages et plus de 700 000 femmes.</w:t>
      </w:r>
    </w:p>
    <w:p w14:paraId="0047BE01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L’Inde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gram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</w:t>
      </w:r>
      <w:proofErr w:type="gram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atteint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un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taux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quasi-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universalité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matière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d’électrification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(98,3 %), un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accès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96,5 % à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une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source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améliorée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d’eau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potable et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une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couverture de 60,2 %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assurance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maladie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témoignant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d’importants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progrès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matière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d’accès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aux services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essentiels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et de protection financière.</w:t>
      </w:r>
    </w:p>
    <w:p w14:paraId="5B50E409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L’autonomisation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des femmes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s’est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considérablement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proofErr w:type="gram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renforcée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:</w:t>
      </w:r>
      <w:proofErr w:type="gram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89 % des femmes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participent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à la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prise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décisions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 sein du ménage, 89 %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possèdent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et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utilisent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un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compte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bancaire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63,6 %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possèdent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un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téléphone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portable et 64,3 %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utilisent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Internet.</w:t>
      </w:r>
    </w:p>
    <w:p w14:paraId="49490589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L’Inde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consolidé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transition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démographique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le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taux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fécondité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total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demeurant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niveau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remplacement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2,0,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tandis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que les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mariages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d’enfants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ont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fortement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diminué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cours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des deux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dernières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décennies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.</w:t>
      </w:r>
    </w:p>
    <w:p w14:paraId="11663FF3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Les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indicateurs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maternelle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et infantile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ont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atteint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niveaux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historiques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avec 90,6 %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d’accouchements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établissement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91,3 %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d’accouchements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assistés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par un personnel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qualifié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95,9 % de couverture des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soins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prénatals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et 87,1 % de couverture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vaccinale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complète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chez les enfants.</w:t>
      </w:r>
    </w:p>
    <w:p w14:paraId="1AB00554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proofErr w:type="gram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Plus</w:t>
      </w:r>
      <w:proofErr w:type="gram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95 % des vaccinations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infantiles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sont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désormais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administrées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dans les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établissements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publics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traduisant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une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confiance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accrue de la population dans le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système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santé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indien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.</w:t>
      </w:r>
    </w:p>
    <w:p w14:paraId="6DC915E5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La nutrition infantile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s’est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nettement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améliorée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le retard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croissance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ayant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réduit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à 29,3 % et la malnutrition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aiguë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sévère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à 5,2 %,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grâce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notamment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aux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programmes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nationaux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nutrition.</w:t>
      </w:r>
    </w:p>
    <w:p w14:paraId="5659DCBD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L’Inde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considérablement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renforcé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l’inclusion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gram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numérique :</w:t>
      </w:r>
      <w:proofErr w:type="gram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l’utilisation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d’Internet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par les femmes 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presque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doublé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depuis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la NFHS-5 pour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atteindre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64,3 %,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tandis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que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celle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des hommes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s’élève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désormais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à 80,5 %.</w:t>
      </w:r>
    </w:p>
    <w:p w14:paraId="507623E3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Les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indicateurs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relatifs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aux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violences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fondées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sur le genre se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sont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améliorés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la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prévalence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violences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conjugales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chez les femmes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actuellement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ou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anciennement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mariées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étant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passée de 37 %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2005–2006 à 22,3 %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2023–2024.</w:t>
      </w:r>
    </w:p>
    <w:p w14:paraId="5F4BA483" w14:textId="77777777" w:rsidR="005E390C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L’enquête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met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également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évidence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l’attention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croissante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accordée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aux maladies non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transmissibles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avec la mise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œuvre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vastes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programmes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nationaux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dépistage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du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diabète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l’hypertension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artérielle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et des cancers les plus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fréquents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dans les Ayushman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Aarogya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Mandirs.</w:t>
      </w:r>
    </w:p>
    <w:p w14:paraId="1C3AE0F6" w14:textId="0F9D6E94" w:rsidR="00401793" w:rsidRPr="005E390C" w:rsidRDefault="005E390C" w:rsidP="005E39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bidi="hi-IN"/>
        </w:rPr>
      </w:pPr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Dans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l’ensemble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la NFHS-6,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publiée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le 29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mai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2026, met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évidence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les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progrès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constants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accomplis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par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l’Inde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vers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la Couverture Sanitaire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Universelle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et la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réalisation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Objectifs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développement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durable, tout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en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identifiant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de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nouvelles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priorités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,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notamment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les maladies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liées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au mode de vie et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l’obésité</w:t>
      </w:r>
      <w:proofErr w:type="spellEnd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 xml:space="preserve"> chez les </w:t>
      </w:r>
      <w:proofErr w:type="spellStart"/>
      <w:r w:rsidRPr="005E390C">
        <w:rPr>
          <w:rFonts w:ascii="Liberation Serif" w:eastAsia="Times New Roman" w:hAnsi="Liberation Serif" w:cs="Times New Roman"/>
          <w:sz w:val="24"/>
          <w:szCs w:val="24"/>
          <w:lang w:bidi="hi-IN"/>
        </w:rPr>
        <w:t>adultes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bidi="hi-IN"/>
        </w:rPr>
        <w:t>.</w:t>
      </w:r>
    </w:p>
    <w:sectPr w:rsidR="00401793" w:rsidRPr="005E390C" w:rsidSect="005E390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85210"/>
    <w:multiLevelType w:val="multilevel"/>
    <w:tmpl w:val="E76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127A0"/>
    <w:multiLevelType w:val="multilevel"/>
    <w:tmpl w:val="B09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0C"/>
    <w:rsid w:val="00401793"/>
    <w:rsid w:val="005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55CC"/>
  <w15:chartTrackingRefBased/>
  <w15:docId w15:val="{F98E6873-8D5B-4998-95AA-F9AED577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3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738309781size">
    <w:name w:val="x_1738309781size"/>
    <w:basedOn w:val="DefaultParagraphFont"/>
    <w:rsid w:val="005E390C"/>
  </w:style>
  <w:style w:type="character" w:customStyle="1" w:styleId="Heading2Char">
    <w:name w:val="Heading 2 Char"/>
    <w:basedOn w:val="DefaultParagraphFont"/>
    <w:link w:val="Heading2"/>
    <w:uiPriority w:val="9"/>
    <w:rsid w:val="005E390C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NormalWeb">
    <w:name w:val="Normal (Web)"/>
    <w:basedOn w:val="Normal"/>
    <w:uiPriority w:val="99"/>
    <w:semiHidden/>
    <w:unhideWhenUsed/>
    <w:rsid w:val="005E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5E3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Uddeshya Priyadarshi</dc:creator>
  <cp:keywords/>
  <dc:description/>
  <cp:lastModifiedBy>Uddeshya Priyadarshi</cp:lastModifiedBy>
  <cp:revision>1</cp:revision>
  <dcterms:created xsi:type="dcterms:W3CDTF">2026-07-03T16:17:00Z</dcterms:created>
  <dcterms:modified xsi:type="dcterms:W3CDTF">2026-07-03T16:19:00Z</dcterms:modified>
</cp:coreProperties>
</file>